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b/>
          <w:bCs/>
          <w:color w:val="2B665B"/>
          <w:sz w:val="18"/>
          <w:szCs w:val="18"/>
        </w:rPr>
        <w:t xml:space="preserve">UNIT 7 発展読解 ・ パフォーマンステスト評価</w:t>
      </w:r>
    </w:p>
    <w:p>
      <w:pPr>
        <w:pStyle w:val="Title"/>
        <w:spacing w:after="60"/>
      </w:pPr>
      <w:r>
        <w:rPr>
          <w:rFonts w:ascii="Cambria" w:cs="Cambria" w:eastAsia="Cambria" w:hAnsi="Cambria"/>
          <w:b/>
          <w:bCs/>
          <w:color w:val="123430"/>
          <w:sz w:val="40"/>
          <w:szCs w:val="40"/>
        </w:rPr>
        <w:t xml:space="preserve">評価ルーブリック</w:t>
      </w:r>
    </w:p>
    <w:p>
      <w:pPr>
        <w:spacing w:after="300"/>
      </w:pPr>
      <w:r>
        <w:rPr>
          <w:rFonts w:ascii="Cambria" w:cs="Cambria" w:eastAsia="Cambria" w:hAnsi="Cambria"/>
          <w:i/>
          <w:iCs/>
          <w:color w:val="4A5957"/>
          <w:sz w:val="22"/>
          <w:szCs w:val="22"/>
        </w:rPr>
        <w:t xml:space="preserve">Recognizing and Responding to Alcohol Poisoning に基づくオーラル・パフォーマンステスト</w:t>
      </w:r>
    </w:p>
    <w:p>
      <w:pPr>
        <w:pBdr>
          <w:bottom w:val="single" w:color="D9CFB4" w:sz="6" w:space="4"/>
        </w:pBdr>
        <w:spacing w:after="200"/>
      </w:pPr>
      <w:r>
        <w:rPr>
          <w:sz w:val="2"/>
          <w:szCs w:val="2"/>
        </w:rPr>
        <w:t xml:space="preserve"/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123430"/>
          <w:sz w:val="24"/>
          <w:szCs w:val="24"/>
        </w:rPr>
        <w:t xml:space="preserve">テスト概要</w:t>
      </w:r>
    </w:p>
    <w:p>
      <w:pPr>
        <w:spacing w:after="200"/>
      </w:pPr>
      <w:r>
        <w:rPr>
          <w:rFonts w:ascii="Calibri" w:cs="Calibri" w:eastAsia="Calibri" w:hAnsi="Calibri"/>
          <w:color w:val="1E2A28"/>
          <w:sz w:val="20"/>
          <w:szCs w:val="20"/>
        </w:rPr>
        <w:t xml:space="preserve">本ルーブリックは、Unit 7 発展読解教材「Recognizing and Responding to Alcohol Poisoning」の内容を踏まえた、ペア形式（またはロールプレイ形式）のオーラル・パフォーマンステストを想定して作成しています。テストの形式や配点は、実際の授業内容に合わせて調整してご利用ください。</w:t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23430"/>
          <w:sz w:val="21"/>
          <w:szCs w:val="21"/>
        </w:rPr>
        <w:t xml:space="preserve">課題設定（例）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20"/>
          <w:szCs w:val="20"/>
        </w:rPr>
        <w:t xml:space="preserve">・</w:t>
      </w:r>
      <w:r>
        <w:rPr>
          <w:rFonts w:ascii="Calibri" w:cs="Calibri" w:eastAsia="Calibri" w:hAnsi="Calibri"/>
          <w:color w:val="1E2A28"/>
          <w:sz w:val="20"/>
          <w:szCs w:val="20"/>
        </w:rPr>
        <w:t xml:space="preserve">設定：あなたは看護学生。飲み会の場で、友人が急性アルコール中毒とみられる症状を示している。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20"/>
          <w:szCs w:val="20"/>
        </w:rPr>
        <w:t xml:space="preserve">・</w:t>
      </w:r>
      <w:r>
        <w:rPr>
          <w:rFonts w:ascii="Calibri" w:cs="Calibri" w:eastAsia="Calibri" w:hAnsi="Calibri"/>
          <w:color w:val="1E2A28"/>
          <w:sz w:val="20"/>
          <w:szCs w:val="20"/>
        </w:rPr>
        <w:t xml:space="preserve">課題：①気づいた症状を説明する　②取るべき対応（体位・連絡・観察）を説明する、の2点を英語で行う。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20"/>
          <w:szCs w:val="20"/>
        </w:rPr>
        <w:t xml:space="preserve">・</w:t>
      </w:r>
      <w:r>
        <w:rPr>
          <w:rFonts w:ascii="Calibri" w:cs="Calibri" w:eastAsia="Calibri" w:hAnsi="Calibri"/>
          <w:color w:val="1E2A28"/>
          <w:sz w:val="20"/>
          <w:szCs w:val="20"/>
        </w:rPr>
        <w:t xml:space="preserve">形式：ペアでのロールプレイ（学生A＝友人役、学生B＝看護学生役）、または個人でのオーラル説明。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20"/>
          <w:szCs w:val="20"/>
        </w:rPr>
        <w:t xml:space="preserve">・</w:t>
      </w:r>
      <w:r>
        <w:rPr>
          <w:rFonts w:ascii="Calibri" w:cs="Calibri" w:eastAsia="Calibri" w:hAnsi="Calibri"/>
          <w:color w:val="1E2A28"/>
          <w:sz w:val="20"/>
          <w:szCs w:val="20"/>
        </w:rPr>
        <w:t xml:space="preserve">時間の目安：準備1分程度＋発表・やり取り2〜3分程度。</w:t>
      </w:r>
    </w:p>
    <w:p>
      <w:pPr>
        <w:spacing w:after="220"/>
      </w:pPr>
      <w:r>
        <w:rPr>
          <w:sz w:val="2"/>
          <w:szCs w:val="2"/>
        </w:rP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23430"/>
          <w:sz w:val="21"/>
          <w:szCs w:val="21"/>
        </w:rPr>
        <w:t xml:space="preserve">評価の観点（5項目・各4点満点・合計20点）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20"/>
          <w:szCs w:val="20"/>
        </w:rPr>
        <w:t xml:space="preserve">・</w:t>
      </w:r>
      <w:r>
        <w:rPr>
          <w:rFonts w:ascii="Calibri" w:cs="Calibri" w:eastAsia="Calibri" w:hAnsi="Calibri"/>
          <w:b/>
          <w:bCs/>
          <w:color w:val="1E2A28"/>
          <w:sz w:val="20"/>
          <w:szCs w:val="20"/>
        </w:rPr>
        <w:t xml:space="preserve">① 内容の正確さ（Content Accuracy）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20"/>
          <w:szCs w:val="20"/>
        </w:rPr>
        <w:t xml:space="preserve">・</w:t>
      </w:r>
      <w:r>
        <w:rPr>
          <w:rFonts w:ascii="Calibri" w:cs="Calibri" w:eastAsia="Calibri" w:hAnsi="Calibri"/>
          <w:b/>
          <w:bCs/>
          <w:color w:val="1E2A28"/>
          <w:sz w:val="20"/>
          <w:szCs w:val="20"/>
        </w:rPr>
        <w:t xml:space="preserve">② 語彙の使用（Vocabulary Use）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20"/>
          <w:szCs w:val="20"/>
        </w:rPr>
        <w:t xml:space="preserve">・</w:t>
      </w:r>
      <w:r>
        <w:rPr>
          <w:rFonts w:ascii="Calibri" w:cs="Calibri" w:eastAsia="Calibri" w:hAnsi="Calibri"/>
          <w:b/>
          <w:bCs/>
          <w:color w:val="1E2A28"/>
          <w:sz w:val="20"/>
          <w:szCs w:val="20"/>
        </w:rPr>
        <w:t xml:space="preserve">③ 文法・構文の使用（Grammar ＆ Structures）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20"/>
          <w:szCs w:val="20"/>
        </w:rPr>
        <w:t xml:space="preserve">・</w:t>
      </w:r>
      <w:r>
        <w:rPr>
          <w:rFonts w:ascii="Calibri" w:cs="Calibri" w:eastAsia="Calibri" w:hAnsi="Calibri"/>
          <w:b/>
          <w:bCs/>
          <w:color w:val="1E2A28"/>
          <w:sz w:val="20"/>
          <w:szCs w:val="20"/>
        </w:rPr>
        <w:t xml:space="preserve">④ 流暢さ・伝達力（Fluency ＆ Delivery）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20"/>
          <w:szCs w:val="20"/>
        </w:rPr>
        <w:t xml:space="preserve">・</w:t>
      </w:r>
      <w:r>
        <w:rPr>
          <w:rFonts w:ascii="Calibri" w:cs="Calibri" w:eastAsia="Calibri" w:hAnsi="Calibri"/>
          <w:b/>
          <w:bCs/>
          <w:color w:val="1E2A28"/>
          <w:sz w:val="20"/>
          <w:szCs w:val="20"/>
        </w:rPr>
        <w:t xml:space="preserve">⑤ コミュニケーション対応力（Interaction）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4A5957"/>
          <w:sz w:val="19"/>
          <w:szCs w:val="19"/>
        </w:rPr>
        <w:t xml:space="preserve">各項目の詳しい評価基準は次のページの表をご参照ください。</w:t>
      </w:r>
    </w:p>
    <w:p>
      <w:pPr>
        <w:sectPr>
          <w:pgSz w:w="11906" w:h="16838" w:orient="portrait"/>
          <w:pgMar w:top="900" w:right="1100" w:bottom="900" w:left="1100" w:header="708" w:footer="708" w:gutter="0"/>
          <w:pgNumType/>
          <w:docGrid w:linePitch="360"/>
        </w:sectPr>
      </w:pPr>
    </w:p>
    <w:p>
      <w:pPr>
        <w:spacing w:after="100"/>
      </w:pPr>
      <w:r>
        <w:rPr>
          <w:rFonts w:ascii="Calibri" w:cs="Calibri" w:eastAsia="Calibri" w:hAnsi="Calibri"/>
          <w:b/>
          <w:bCs/>
          <w:color w:val="123430"/>
          <w:sz w:val="24"/>
          <w:szCs w:val="24"/>
        </w:rPr>
        <w:t xml:space="preserve">目標表現リスト（採点時の参考資料）</w:t>
      </w:r>
    </w:p>
    <w:p>
      <w:pPr>
        <w:spacing w:after="200"/>
      </w:pPr>
      <w:r>
        <w:rPr>
          <w:rFonts w:ascii="Calibri" w:cs="Calibri" w:eastAsia="Calibri" w:hAnsi="Calibri"/>
          <w:color w:val="4A5957"/>
          <w:sz w:val="19"/>
          <w:szCs w:val="19"/>
        </w:rPr>
        <w:t xml:space="preserve">以下は、本文「Recognizing and Responding to Alcohol Poisoning」で扱った目標語彙・目標構文です。②語彙の使用、③文法・構文の使用の評価の際にご参照ください。すべてを使用する必要はなく、文脈に応じて自然に使えているかを評価してください。</w:t>
      </w:r>
    </w:p>
    <w:tbl>
      <w:tblPr>
        <w:tblW w:type="dxa" w:w="5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26"/>
      </w:tblGrid>
      <w:tr>
        <w:trPr>
          <w:tblHeader/>
        </w:trPr>
        <w:tc>
          <w:tcPr>
            <w:tcW w:type="dxa" w:w="2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123430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目標語彙</w:t>
            </w:r>
          </w:p>
        </w:tc>
        <w:tc>
          <w:tcPr>
            <w:tcW w:type="dxa" w:w="26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123430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意味</w:t>
            </w:r>
          </w:p>
        </w:tc>
      </w:tr>
      <w:tr>
        <w:tc>
          <w:tcPr>
            <w:tcW w:type="dxa" w:w="2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alcohol poisoning</w:t>
            </w:r>
          </w:p>
        </w:tc>
        <w:tc>
          <w:tcPr>
            <w:tcW w:type="dxa" w:w="26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4A5957"/>
                <w:sz w:val="19"/>
                <w:szCs w:val="19"/>
              </w:rPr>
              <w:t xml:space="preserve">急性アルコール中毒</w:t>
            </w:r>
          </w:p>
        </w:tc>
      </w:tr>
      <w:tr>
        <w:tc>
          <w:tcPr>
            <w:tcW w:type="dxa" w:w="2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confusion</w:t>
            </w:r>
          </w:p>
        </w:tc>
        <w:tc>
          <w:tcPr>
            <w:tcW w:type="dxa" w:w="26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4A5957"/>
                <w:sz w:val="19"/>
                <w:szCs w:val="19"/>
              </w:rPr>
              <w:t xml:space="preserve">混乱、意識の混濁</w:t>
            </w:r>
          </w:p>
        </w:tc>
      </w:tr>
      <w:tr>
        <w:tc>
          <w:tcPr>
            <w:tcW w:type="dxa" w:w="2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vomiting</w:t>
            </w:r>
          </w:p>
        </w:tc>
        <w:tc>
          <w:tcPr>
            <w:tcW w:type="dxa" w:w="26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4A5957"/>
                <w:sz w:val="19"/>
                <w:szCs w:val="19"/>
              </w:rPr>
              <w:t xml:space="preserve">嘔吐</w:t>
            </w:r>
          </w:p>
        </w:tc>
      </w:tr>
      <w:tr>
        <w:tc>
          <w:tcPr>
            <w:tcW w:type="dxa" w:w="2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irregular breathing</w:t>
            </w:r>
          </w:p>
        </w:tc>
        <w:tc>
          <w:tcPr>
            <w:tcW w:type="dxa" w:w="26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4A5957"/>
                <w:sz w:val="19"/>
                <w:szCs w:val="19"/>
              </w:rPr>
              <w:t xml:space="preserve">不規則な呼吸</w:t>
            </w:r>
          </w:p>
        </w:tc>
      </w:tr>
      <w:tr>
        <w:tc>
          <w:tcPr>
            <w:tcW w:type="dxa" w:w="2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clammy skin</w:t>
            </w:r>
          </w:p>
        </w:tc>
        <w:tc>
          <w:tcPr>
            <w:tcW w:type="dxa" w:w="26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4A5957"/>
                <w:sz w:val="19"/>
                <w:szCs w:val="19"/>
              </w:rPr>
              <w:t xml:space="preserve">冷たく湿った肌</w:t>
            </w:r>
          </w:p>
        </w:tc>
      </w:tr>
      <w:tr>
        <w:tc>
          <w:tcPr>
            <w:tcW w:type="dxa" w:w="2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bluish tint</w:t>
            </w:r>
          </w:p>
        </w:tc>
        <w:tc>
          <w:tcPr>
            <w:tcW w:type="dxa" w:w="26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4A5957"/>
                <w:sz w:val="19"/>
                <w:szCs w:val="19"/>
              </w:rPr>
              <w:t xml:space="preserve">青みがかった色</w:t>
            </w:r>
          </w:p>
        </w:tc>
      </w:tr>
      <w:tr>
        <w:tc>
          <w:tcPr>
            <w:tcW w:type="dxa" w:w="2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unresponsiveness</w:t>
            </w:r>
          </w:p>
        </w:tc>
        <w:tc>
          <w:tcPr>
            <w:tcW w:type="dxa" w:w="26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4A5957"/>
                <w:sz w:val="19"/>
                <w:szCs w:val="19"/>
              </w:rPr>
              <w:t xml:space="preserve">反応がないこと</w:t>
            </w:r>
          </w:p>
        </w:tc>
      </w:tr>
      <w:tr>
        <w:tc>
          <w:tcPr>
            <w:tcW w:type="dxa" w:w="2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suspect</w:t>
            </w:r>
          </w:p>
        </w:tc>
        <w:tc>
          <w:tcPr>
            <w:tcW w:type="dxa" w:w="26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4A5957"/>
                <w:sz w:val="19"/>
                <w:szCs w:val="19"/>
              </w:rPr>
              <w:t xml:space="preserve">〜ではないかと思う</w:t>
            </w:r>
          </w:p>
        </w:tc>
      </w:tr>
      <w:tr>
        <w:tc>
          <w:tcPr>
            <w:tcW w:type="dxa" w:w="2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choking</w:t>
            </w:r>
          </w:p>
        </w:tc>
        <w:tc>
          <w:tcPr>
            <w:tcW w:type="dxa" w:w="26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4A5957"/>
                <w:sz w:val="19"/>
                <w:szCs w:val="19"/>
              </w:rPr>
              <w:t xml:space="preserve">喉を詰まらせること</w:t>
            </w:r>
          </w:p>
        </w:tc>
      </w:tr>
      <w:tr>
        <w:tc>
          <w:tcPr>
            <w:tcW w:type="dxa" w:w="2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monitor</w:t>
            </w:r>
          </w:p>
        </w:tc>
        <w:tc>
          <w:tcPr>
            <w:tcW w:type="dxa" w:w="26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4A5957"/>
                <w:sz w:val="19"/>
                <w:szCs w:val="19"/>
              </w:rPr>
              <w:t xml:space="preserve">観察する</w:t>
            </w:r>
          </w:p>
        </w:tc>
      </w:tr>
      <w:tr>
        <w:tc>
          <w:tcPr>
            <w:tcW w:type="dxa" w:w="2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urgent</w:t>
            </w:r>
          </w:p>
        </w:tc>
        <w:tc>
          <w:tcPr>
            <w:tcW w:type="dxa" w:w="26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4A5957"/>
                <w:sz w:val="19"/>
                <w:szCs w:val="19"/>
              </w:rPr>
              <w:t xml:space="preserve">緊急の</w:t>
            </w:r>
          </w:p>
        </w:tc>
      </w:tr>
      <w:tr>
        <w:tc>
          <w:tcPr>
            <w:tcW w:type="dxa" w:w="2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tragedy</w:t>
            </w:r>
          </w:p>
        </w:tc>
        <w:tc>
          <w:tcPr>
            <w:tcW w:type="dxa" w:w="26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4A5957"/>
                <w:sz w:val="19"/>
                <w:szCs w:val="19"/>
              </w:rPr>
              <w:t xml:space="preserve">悲劇</w:t>
            </w:r>
          </w:p>
        </w:tc>
      </w:tr>
    </w:tbl>
    <w:p>
      <w:pPr>
        <w:spacing w:after="220"/>
      </w:pPr>
      <w:r>
        <w:rPr>
          <w:sz w:val="2"/>
          <w:szCs w:val="2"/>
        </w:rP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23430"/>
          <w:sz w:val="21"/>
          <w:szCs w:val="21"/>
        </w:rPr>
        <w:t xml:space="preserve">目標構文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19"/>
          <w:szCs w:val="19"/>
        </w:rPr>
        <w:t xml:space="preserve">・</w:t>
      </w:r>
      <w:r>
        <w:rPr>
          <w:rFonts w:ascii="Calibri" w:cs="Calibri" w:eastAsia="Calibri" w:hAnsi="Calibri"/>
          <w:color w:val="1E2A28"/>
          <w:sz w:val="19"/>
          <w:szCs w:val="19"/>
        </w:rPr>
        <w:t xml:space="preserve">occur when ~／比較級 more ~ than …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19"/>
          <w:szCs w:val="19"/>
        </w:rPr>
        <w:t xml:space="preserve">・</w:t>
      </w:r>
      <w:r>
        <w:rPr>
          <w:rFonts w:ascii="Calibri" w:cs="Calibri" w:eastAsia="Calibri" w:hAnsi="Calibri"/>
          <w:color w:val="1E2A28"/>
          <w:sz w:val="19"/>
          <w:szCs w:val="19"/>
        </w:rPr>
        <w:t xml:space="preserve">Because節＋動名詞が主語（drinking ~）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19"/>
          <w:szCs w:val="19"/>
        </w:rPr>
        <w:t xml:space="preserve">・</w:t>
      </w:r>
      <w:r>
        <w:rPr>
          <w:rFonts w:ascii="Calibri" w:cs="Calibri" w:eastAsia="Calibri" w:hAnsi="Calibri"/>
          <w:color w:val="1E2A28"/>
          <w:sz w:val="19"/>
          <w:szCs w:val="19"/>
        </w:rPr>
        <w:t xml:space="preserve">関係代名詞 who／so＋動名詞主語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19"/>
          <w:szCs w:val="19"/>
        </w:rPr>
        <w:t xml:space="preserve">・</w:t>
      </w:r>
      <w:r>
        <w:rPr>
          <w:rFonts w:ascii="Calibri" w:cs="Calibri" w:eastAsia="Calibri" w:hAnsi="Calibri"/>
          <w:color w:val="1E2A28"/>
          <w:sz w:val="19"/>
          <w:szCs w:val="19"/>
        </w:rPr>
        <w:t xml:space="preserve">as are ~（倒置構文）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19"/>
          <w:szCs w:val="19"/>
        </w:rPr>
        <w:t xml:space="preserve">・</w:t>
      </w:r>
      <w:r>
        <w:rPr>
          <w:rFonts w:ascii="Calibri" w:cs="Calibri" w:eastAsia="Calibri" w:hAnsi="Calibri"/>
          <w:color w:val="1E2A28"/>
          <w:sz w:val="19"/>
          <w:szCs w:val="19"/>
        </w:rPr>
        <w:t xml:space="preserve">受け身 be woken up／コロン(:)の使い方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19"/>
          <w:szCs w:val="19"/>
        </w:rPr>
        <w:t xml:space="preserve">・</w:t>
      </w:r>
      <w:r>
        <w:rPr>
          <w:rFonts w:ascii="Calibri" w:cs="Calibri" w:eastAsia="Calibri" w:hAnsi="Calibri"/>
          <w:color w:val="1E2A28"/>
          <w:sz w:val="19"/>
          <w:szCs w:val="19"/>
        </w:rPr>
        <w:t xml:space="preserve">The 比較級 ~, the 比較級 …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19"/>
          <w:szCs w:val="19"/>
        </w:rPr>
        <w:t xml:space="preserve">・</w:t>
      </w:r>
      <w:r>
        <w:rPr>
          <w:rFonts w:ascii="Calibri" w:cs="Calibri" w:eastAsia="Calibri" w:hAnsi="Calibri"/>
          <w:color w:val="1E2A28"/>
          <w:sz w:val="19"/>
          <w:szCs w:val="19"/>
        </w:rPr>
        <w:t xml:space="preserve">even if（譲歩）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19"/>
          <w:szCs w:val="19"/>
        </w:rPr>
        <w:t xml:space="preserve">・</w:t>
      </w:r>
      <w:r>
        <w:rPr>
          <w:rFonts w:ascii="Calibri" w:cs="Calibri" w:eastAsia="Calibri" w:hAnsi="Calibri"/>
          <w:color w:val="1E2A28"/>
          <w:sz w:val="19"/>
          <w:szCs w:val="19"/>
        </w:rPr>
        <w:t xml:space="preserve">命令文＋不定詞（目的）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19"/>
          <w:szCs w:val="19"/>
        </w:rPr>
        <w:t xml:space="preserve">・</w:t>
      </w:r>
      <w:r>
        <w:rPr>
          <w:rFonts w:ascii="Calibri" w:cs="Calibri" w:eastAsia="Calibri" w:hAnsi="Calibri"/>
          <w:color w:val="1E2A28"/>
          <w:sz w:val="19"/>
          <w:szCs w:val="19"/>
        </w:rPr>
        <w:t xml:space="preserve">分詞構文 While -ing／keep＋O＋形容詞</w:t>
      </w:r>
    </w:p>
    <w:p>
      <w:pPr>
        <w:spacing w:after="60"/>
      </w:pPr>
      <w:r>
        <w:rPr>
          <w:rFonts w:ascii="Calibri" w:cs="Calibri" w:eastAsia="Calibri" w:hAnsi="Calibri"/>
          <w:color w:val="1E2A28"/>
          <w:sz w:val="19"/>
          <w:szCs w:val="19"/>
        </w:rPr>
        <w:t xml:space="preserve">・</w:t>
      </w:r>
      <w:r>
        <w:rPr>
          <w:rFonts w:ascii="Calibri" w:cs="Calibri" w:eastAsia="Calibri" w:hAnsi="Calibri"/>
          <w:color w:val="1E2A28"/>
          <w:sz w:val="19"/>
          <w:szCs w:val="19"/>
        </w:rPr>
        <w:t xml:space="preserve">make the difference between A and B</w:t>
      </w:r>
    </w:p>
    <w:p>
      <w:pPr>
        <w:sectPr>
          <w:pgSz w:w="11906" w:h="16838" w:orient="portrait"/>
          <w:pgMar w:top="900" w:right="1100" w:bottom="900" w:left="110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Calibri" w:cs="Calibri" w:eastAsia="Calibri" w:hAnsi="Calibri"/>
          <w:b/>
          <w:bCs/>
          <w:color w:val="123430"/>
          <w:sz w:val="24"/>
          <w:szCs w:val="24"/>
        </w:rPr>
        <w:t xml:space="preserve">評価基準表</w:t>
      </w:r>
    </w:p>
    <w:p>
      <w:pPr>
        <w:spacing w:after="160"/>
      </w:pPr>
      <w:r>
        <w:rPr>
          <w:rFonts w:ascii="Calibri" w:cs="Calibri" w:eastAsia="Calibri" w:hAnsi="Calibri"/>
          <w:color w:val="4A5957"/>
          <w:sz w:val="18"/>
          <w:szCs w:val="18"/>
        </w:rPr>
        <w:t xml:space="preserve">各項目 4 点満点、5 項目合計 20 点満点。</w:t>
      </w:r>
    </w:p>
    <w:tbl>
      <w:tblPr>
        <w:tblW w:type="dxa" w:w="153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98"/>
        <w:gridCol w:w="3250"/>
        <w:gridCol w:w="3250"/>
        <w:gridCol w:w="3250"/>
        <w:gridCol w:w="3250"/>
      </w:tblGrid>
      <w:tr>
        <w:trPr>
          <w:tblHeader/>
        </w:trPr>
        <w:tc>
          <w:tcPr>
            <w:tcW w:type="dxa" w:w="2398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123430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評価項目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2B665B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4 点：優秀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2B665B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3 点：良好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B97A2A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2 点：要改善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AE4A3C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1 点：不十分</w:t>
            </w:r>
          </w:p>
        </w:tc>
      </w:tr>
      <w:tr>
        <w:tc>
          <w:tcPr>
            <w:tcW w:type="dxa" w:w="2398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① 内容の正確さ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23430"/>
                <w:sz w:val="19"/>
                <w:szCs w:val="19"/>
              </w:rPr>
              <w:t xml:space="preserve">Content Accuracy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症状（confusion, vomiting, irregular breathing, clammy skin, bluish tint, unresponsivenessなど）と対応の順序（そばを離れない→体位→連絡→観察）を、正確かつ具体的に説明できている。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症状・対応のどちらもおおむね正確に説明できているが、一部説明が不十分な箇所がある。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内容に明らかな誤りがある、または重要な要素（症状・対応のいずれか）が抜けている。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内容がほとんど本文の理解を反映しておらず、症状や対応の説明が成立していない。</w:t>
            </w:r>
          </w:p>
        </w:tc>
      </w:tr>
      <w:tr>
        <w:tc>
          <w:tcPr>
            <w:tcW w:type="dxa" w:w="2398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② 語彙の使用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23430"/>
                <w:sz w:val="19"/>
                <w:szCs w:val="19"/>
              </w:rPr>
              <w:t xml:space="preserve">Vocabulary Use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目標語彙（alcohol poisoning, suspect, choking, monitor, unresponsiveness など）を複数、正確な意味で自然に使用できている。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目標語彙をいくつか使用できているが、意味や使い方に軽微な誤りがある。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目標語彙の使用が少ない、または誤用が目立ち、意味が伝わりにくい。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目標語彙をほとんど使用していない、または語彙の誤りにより意味が成立していない。</w:t>
            </w:r>
          </w:p>
        </w:tc>
      </w:tr>
      <w:tr>
        <w:tc>
          <w:tcPr>
            <w:tcW w:type="dxa" w:w="2398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③ 文法・構文の使用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23430"/>
                <w:sz w:val="19"/>
                <w:szCs w:val="19"/>
              </w:rPr>
              <w:t xml:space="preserve">Grammar &amp; Structures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even if、命令文＋不定詞、While -ing の分詞構文、make the difference between A and B などの目標構文を、正確かつ自然な文脈で使用できている。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目標構文を使用しているが、時制や語順など文法的な誤りが散見される。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目標構文の使用が限定的で、誤りが多く意味の伝達に支障がある。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目標構文をほとんど使用しておらず、文として成立していない発話が多い。</w:t>
            </w:r>
          </w:p>
        </w:tc>
      </w:tr>
      <w:tr>
        <w:tc>
          <w:tcPr>
            <w:tcW w:type="dxa" w:w="2398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④ 流暢さ・伝達力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23430"/>
                <w:sz w:val="19"/>
                <w:szCs w:val="19"/>
              </w:rPr>
              <w:t xml:space="preserve">Fluency &amp; Delivery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はっきりとした発音で、自然なペースで、聞き手に伝わりやすく話せている。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おおむね聞き取れるが、時々つまずきや不自然な間、言い直しが見られる。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聞き取りにくい発音や極端に遅い／速いペースが多く、伝達に支障がある。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ほとんど聞き取れない、または沈黙が多く、発話として成立していない。</w:t>
            </w:r>
          </w:p>
        </w:tc>
      </w:tr>
      <w:tr>
        <w:tc>
          <w:tcPr>
            <w:tcW w:type="dxa" w:w="2398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19"/>
                <w:szCs w:val="19"/>
              </w:rPr>
              <w:t xml:space="preserve">⑤ コミュニケーション対応力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23430"/>
                <w:sz w:val="19"/>
                <w:szCs w:val="19"/>
              </w:rPr>
              <w:t xml:space="preserve">Interaction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相手の反応や質問に応じて柔軟に対応し、状況に応じたやり取り（確認・言い換えなど）ができている。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基本的なやり取りはできているが、相手の反応への応用的な対応にはやや欠ける。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準備した内容を話すのみで、相手とのやり取りへの対応がほとんど見られない。</w:t>
            </w:r>
          </w:p>
        </w:tc>
        <w:tc>
          <w:tcPr>
            <w:tcW w:type="dxa" w:w="325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7"/>
                <w:szCs w:val="17"/>
              </w:rPr>
              <w:t xml:space="preserve">相手とのやり取りがほとんど成立していない、または一方的な発話に終始している。</w:t>
            </w:r>
          </w:p>
        </w:tc>
      </w:tr>
    </w:tbl>
    <w:p>
      <w:pPr>
        <w:sectPr>
          <w:pgSz w:w="16838" w:h="11906" w:orient="landscape"/>
          <w:pgMar w:top="700" w:right="720" w:bottom="70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Calibri" w:cs="Calibri" w:eastAsia="Calibri" w:hAnsi="Calibri"/>
          <w:b/>
          <w:bCs/>
          <w:color w:val="123430"/>
          <w:sz w:val="24"/>
          <w:szCs w:val="24"/>
        </w:rPr>
        <w:t xml:space="preserve">得点集計シート</w:t>
      </w:r>
    </w:p>
    <w:p>
      <w:pPr>
        <w:spacing w:after="200"/>
      </w:pPr>
      <w:r>
        <w:rPr>
          <w:rFonts w:ascii="Calibri" w:cs="Calibri" w:eastAsia="Calibri" w:hAnsi="Calibri"/>
          <w:color w:val="1E2A28"/>
          <w:sz w:val="20"/>
          <w:szCs w:val="20"/>
        </w:rPr>
        <w:t xml:space="preserve">学生氏名：＿＿＿＿＿＿＿＿＿＿＿＿＿＿＿＿　　実施日：＿＿＿＿年＿＿月＿＿日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1400"/>
        <w:gridCol w:w="4226"/>
      </w:tblGrid>
      <w:tr>
        <w:trPr>
          <w:tblHeader/>
        </w:trPr>
        <w:tc>
          <w:tcPr>
            <w:tcW w:type="dxa" w:w="3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123430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評価項目</w:t>
            </w:r>
          </w:p>
        </w:tc>
        <w:tc>
          <w:tcPr>
            <w:tcW w:type="dxa" w:w="1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123430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得点 / 4</w:t>
            </w:r>
          </w:p>
        </w:tc>
        <w:tc>
          <w:tcPr>
            <w:tcW w:type="dxa" w:w="42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123430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コメント</w:t>
            </w:r>
          </w:p>
        </w:tc>
      </w:tr>
      <w:tr>
        <w:tc>
          <w:tcPr>
            <w:tcW w:type="dxa" w:w="3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>① 内容の正確さ</w:t>
            </w:r>
          </w:p>
        </w:tc>
        <w:tc>
          <w:tcPr>
            <w:tcW w:type="dxa" w:w="1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/>
            </w:r>
          </w:p>
        </w:tc>
        <w:tc>
          <w:tcPr>
            <w:tcW w:type="dxa" w:w="42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>② 語彙の使用</w:t>
            </w:r>
          </w:p>
        </w:tc>
        <w:tc>
          <w:tcPr>
            <w:tcW w:type="dxa" w:w="1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/>
            </w:r>
          </w:p>
        </w:tc>
        <w:tc>
          <w:tcPr>
            <w:tcW w:type="dxa" w:w="42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>③ 文法・構文の使用</w:t>
            </w:r>
          </w:p>
        </w:tc>
        <w:tc>
          <w:tcPr>
            <w:tcW w:type="dxa" w:w="1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/>
            </w:r>
          </w:p>
        </w:tc>
        <w:tc>
          <w:tcPr>
            <w:tcW w:type="dxa" w:w="42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>④ 流暢さ・伝達力</w:t>
            </w:r>
          </w:p>
        </w:tc>
        <w:tc>
          <w:tcPr>
            <w:tcW w:type="dxa" w:w="1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/>
            </w:r>
          </w:p>
        </w:tc>
        <w:tc>
          <w:tcPr>
            <w:tcW w:type="dxa" w:w="42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FFFFF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>⑤ コミュニケーション対応力</w:t>
            </w:r>
          </w:p>
        </w:tc>
        <w:tc>
          <w:tcPr>
            <w:tcW w:type="dxa" w:w="1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/>
            </w:r>
          </w:p>
        </w:tc>
        <w:tc>
          <w:tcPr>
            <w:tcW w:type="dxa" w:w="42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FBF9F2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EFEAD9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20"/>
                <w:szCs w:val="20"/>
              </w:rPr>
              <w:t xml:space="preserve">合計</w:t>
            </w:r>
          </w:p>
        </w:tc>
        <w:tc>
          <w:tcPr>
            <w:tcW w:type="dxa" w:w="1400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EFEAD9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23430"/>
                <w:sz w:val="20"/>
                <w:szCs w:val="20"/>
              </w:rPr>
              <w:t xml:space="preserve">/ 20</w:t>
            </w:r>
          </w:p>
        </w:tc>
        <w:tc>
          <w:tcPr>
            <w:tcW w:type="dxa" w:w="4226"/>
            <w:tcBorders>
              <w:top w:val="single" w:color="D9CFB4" w:sz="4"/>
              <w:left w:val="single" w:color="D9CFB4" w:sz="4"/>
              <w:bottom w:val="single" w:color="D9CFB4" w:sz="4"/>
              <w:right w:val="single" w:color="D9CFB4" w:sz="4"/>
            </w:tcBorders>
            <w:shd w:fill="EFEAD9" w:color="auto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19"/>
                <w:szCs w:val="19"/>
              </w:rPr>
              <w:t xml:space="preserve"/>
            </w:r>
          </w:p>
        </w:tc>
      </w:tr>
    </w:tbl>
    <w:p>
      <w:pPr>
        <w:spacing w:after="220"/>
      </w:pPr>
      <w:r>
        <w:rPr>
          <w:sz w:val="2"/>
          <w:szCs w:val="2"/>
        </w:rPr>
        <w:t xml:space="preserve"/>
      </w:r>
    </w:p>
    <w:p>
      <w:pPr>
        <w:spacing w:after="100"/>
      </w:pPr>
      <w:r>
        <w:rPr>
          <w:rFonts w:ascii="Calibri" w:cs="Calibri" w:eastAsia="Calibri" w:hAnsi="Calibri"/>
          <w:b/>
          <w:bCs/>
          <w:color w:val="123430"/>
          <w:sz w:val="21"/>
          <w:szCs w:val="21"/>
        </w:rPr>
        <w:t xml:space="preserve">総合コメント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trHeight w:val="500" w:hRule="atLeast"/>
        </w:trP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9CFB4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9CFB4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20"/>
                <w:szCs w:val="20"/>
              </w:rPr>
              <w:t xml:space="preserve"/>
            </w:r>
          </w:p>
        </w:tc>
      </w:tr>
      <w:tr>
        <w:trPr>
          <w:trHeight w:val="500" w:hRule="atLeast"/>
        </w:trPr>
        <w:tc>
          <w:tcPr>
            <w:tcW w:type="dxa" w:w="9026"/>
            <w:tcBorders>
              <w:top w:val="none" w:color="FFFFFF" w:sz="0"/>
              <w:left w:val="none" w:color="FFFFFF" w:sz="0"/>
              <w:bottom w:val="single" w:color="D9CFB4" w:sz="4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color w:val="1E2A28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900" w:right="1100" w:bottom="9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2026-08-09T03:15:34.033Z</dcterms:created>
  <dcterms:modified xsi:type="dcterms:W3CDTF">2026-08-09T03:15:34.033Z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